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ECAF" w14:textId="1CB71942" w:rsidR="004079D1" w:rsidRPr="00A22A8D" w:rsidRDefault="004079D1">
      <w:pPr>
        <w:rPr>
          <w:b/>
          <w:bCs/>
          <w:noProof/>
          <w:sz w:val="36"/>
          <w:szCs w:val="32"/>
        </w:rPr>
      </w:pPr>
      <w:r w:rsidRPr="00A22A8D">
        <w:rPr>
          <w:b/>
          <w:bCs/>
          <w:noProof/>
          <w:sz w:val="36"/>
          <w:szCs w:val="32"/>
        </w:rPr>
        <w:t>Vejledende løsning</w:t>
      </w:r>
      <w:r w:rsidR="00A22A8D">
        <w:rPr>
          <w:b/>
          <w:bCs/>
          <w:noProof/>
          <w:sz w:val="36"/>
          <w:szCs w:val="32"/>
        </w:rPr>
        <w:t xml:space="preserve"> – Undgå greenwashing</w:t>
      </w:r>
    </w:p>
    <w:p w14:paraId="0A898482" w14:textId="7AC8D759" w:rsidR="00A07C72" w:rsidRPr="00A22A8D" w:rsidRDefault="004079D1">
      <w:pPr>
        <w:rPr>
          <w:b/>
          <w:bCs/>
          <w:noProof/>
          <w:sz w:val="32"/>
          <w:szCs w:val="28"/>
        </w:rPr>
      </w:pPr>
      <w:r w:rsidRPr="00A22A8D">
        <w:rPr>
          <w:b/>
          <w:bCs/>
          <w:noProof/>
          <w:sz w:val="32"/>
          <w:szCs w:val="28"/>
        </w:rPr>
        <w:t xml:space="preserve">Opgave 1: Spot fejlene hos Gorilla Juice </w:t>
      </w:r>
    </w:p>
    <w:p w14:paraId="7571F49D" w14:textId="0ED4243C" w:rsidR="004079D1" w:rsidRDefault="00A22A8D">
      <w:pPr>
        <w:rPr>
          <w:noProof/>
        </w:rPr>
      </w:pPr>
      <w:r>
        <w:rPr>
          <w:noProof/>
        </w:rPr>
        <w:t xml:space="preserve">Her får du en vejldning til </w:t>
      </w:r>
      <w:r w:rsidR="00F003BE">
        <w:rPr>
          <w:noProof/>
        </w:rPr>
        <w:t xml:space="preserve">at spotte </w:t>
      </w:r>
      <w:r>
        <w:rPr>
          <w:noProof/>
        </w:rPr>
        <w:t>n</w:t>
      </w:r>
      <w:r w:rsidR="004079D1">
        <w:rPr>
          <w:noProof/>
        </w:rPr>
        <w:t xml:space="preserve">ogle af </w:t>
      </w:r>
      <w:r>
        <w:rPr>
          <w:noProof/>
        </w:rPr>
        <w:t>eksmplerne på Greenwashing</w:t>
      </w:r>
      <w:r w:rsidR="004079D1">
        <w:rPr>
          <w:noProof/>
        </w:rPr>
        <w:t xml:space="preserve"> på denne side: </w:t>
      </w:r>
      <w:hyperlink r:id="rId7" w:history="1">
        <w:r w:rsidR="004079D1" w:rsidRPr="00D45626">
          <w:rPr>
            <w:rStyle w:val="Hyperlink"/>
            <w:noProof/>
          </w:rPr>
          <w:t>https://gorillajuice-demo.dk/info/plantager-og-ingredienser/</w:t>
        </w:r>
      </w:hyperlink>
      <w:r w:rsidR="004079D1">
        <w:rPr>
          <w:noProof/>
        </w:rPr>
        <w:t xml:space="preserve"> </w:t>
      </w:r>
    </w:p>
    <w:p w14:paraId="1F075796" w14:textId="1D8DE072" w:rsidR="00A22A8D" w:rsidRDefault="00A22A8D">
      <w:pPr>
        <w:rPr>
          <w:noProof/>
        </w:rPr>
      </w:pPr>
      <w:r>
        <w:rPr>
          <w:noProof/>
        </w:rPr>
        <w:t>Listen er ikke udtømmende.</w:t>
      </w:r>
    </w:p>
    <w:p w14:paraId="67896DBF" w14:textId="77777777" w:rsidR="004079D1" w:rsidRPr="00F003BE" w:rsidRDefault="004079D1" w:rsidP="004079D1">
      <w:pPr>
        <w:numPr>
          <w:ilvl w:val="0"/>
          <w:numId w:val="1"/>
        </w:numPr>
        <w:spacing w:before="100" w:beforeAutospacing="1" w:after="100" w:afterAutospacing="1" w:line="240" w:lineRule="auto"/>
        <w:rPr>
          <w:b/>
          <w:bCs/>
          <w:noProof/>
          <w:sz w:val="28"/>
          <w:szCs w:val="24"/>
        </w:rPr>
      </w:pPr>
      <w:r w:rsidRPr="00F003BE">
        <w:rPr>
          <w:b/>
          <w:bCs/>
          <w:noProof/>
          <w:sz w:val="28"/>
          <w:szCs w:val="24"/>
        </w:rPr>
        <w:t>Begræns brugen af ordet BÆREDYGTIGHED (grøn, sustainable m.fl.)​</w:t>
      </w:r>
    </w:p>
    <w:p w14:paraId="11B701CF" w14:textId="28954F6D" w:rsidR="004079D1" w:rsidRDefault="005C7952" w:rsidP="005C7952">
      <w:pPr>
        <w:numPr>
          <w:ilvl w:val="1"/>
          <w:numId w:val="1"/>
        </w:numPr>
        <w:spacing w:before="100" w:beforeAutospacing="1" w:after="100" w:afterAutospacing="1" w:line="240" w:lineRule="auto"/>
        <w:rPr>
          <w:noProof/>
        </w:rPr>
      </w:pPr>
      <w:r>
        <w:rPr>
          <w:noProof/>
        </w:rPr>
        <w:t xml:space="preserve">FEJL: Ordet bæredygtighed går igen MANGE steder, fx </w:t>
      </w:r>
      <w:r w:rsidRPr="005C7952">
        <w:rPr>
          <w:b/>
          <w:bCs/>
          <w:i/>
          <w:iCs/>
          <w:noProof/>
        </w:rPr>
        <w:t>”</w:t>
      </w:r>
      <w:r w:rsidR="004079D1" w:rsidRPr="005C7952">
        <w:rPr>
          <w:b/>
          <w:bCs/>
          <w:i/>
          <w:iCs/>
          <w:noProof/>
        </w:rPr>
        <w:t>Denne bæredygtige plantage”</w:t>
      </w:r>
      <w:r>
        <w:rPr>
          <w:noProof/>
        </w:rPr>
        <w:t xml:space="preserve">. Husk at bæredygtighed dækker over meget mere end miljø, men også sociale forhold, etiske forhold og sundhed. </w:t>
      </w:r>
      <w:r>
        <w:rPr>
          <w:noProof/>
        </w:rPr>
        <w:br/>
      </w:r>
    </w:p>
    <w:p w14:paraId="018BDB2C" w14:textId="77777777" w:rsidR="005C7952" w:rsidRPr="00F003BE" w:rsidRDefault="004079D1" w:rsidP="004079D1">
      <w:pPr>
        <w:numPr>
          <w:ilvl w:val="0"/>
          <w:numId w:val="1"/>
        </w:numPr>
        <w:spacing w:before="100" w:beforeAutospacing="1" w:after="100" w:afterAutospacing="1" w:line="240" w:lineRule="auto"/>
        <w:rPr>
          <w:b/>
          <w:bCs/>
          <w:noProof/>
          <w:sz w:val="28"/>
          <w:szCs w:val="24"/>
        </w:rPr>
      </w:pPr>
      <w:r w:rsidRPr="00F003BE">
        <w:rPr>
          <w:b/>
          <w:bCs/>
          <w:noProof/>
          <w:sz w:val="28"/>
          <w:szCs w:val="24"/>
        </w:rPr>
        <w:t>Pas på med farver og billeder for markedsføring er mere end ord ​</w:t>
      </w:r>
    </w:p>
    <w:p w14:paraId="1E442D21" w14:textId="6624319C" w:rsidR="004079D1" w:rsidRPr="004079D1" w:rsidRDefault="005C7952" w:rsidP="005C7952">
      <w:pPr>
        <w:numPr>
          <w:ilvl w:val="1"/>
          <w:numId w:val="1"/>
        </w:numPr>
        <w:spacing w:before="100" w:beforeAutospacing="1" w:after="100" w:afterAutospacing="1" w:line="240" w:lineRule="auto"/>
        <w:rPr>
          <w:noProof/>
        </w:rPr>
      </w:pPr>
      <w:r>
        <w:rPr>
          <w:noProof/>
        </w:rPr>
        <w:drawing>
          <wp:anchor distT="0" distB="0" distL="114300" distR="114300" simplePos="0" relativeHeight="251658240" behindDoc="1" locked="0" layoutInCell="1" allowOverlap="1" wp14:anchorId="590B3784" wp14:editId="3FB1FE11">
            <wp:simplePos x="0" y="0"/>
            <wp:positionH relativeFrom="column">
              <wp:posOffset>225425</wp:posOffset>
            </wp:positionH>
            <wp:positionV relativeFrom="paragraph">
              <wp:posOffset>549216</wp:posOffset>
            </wp:positionV>
            <wp:extent cx="5141595" cy="1732280"/>
            <wp:effectExtent l="0" t="0" r="1905" b="1270"/>
            <wp:wrapTight wrapText="bothSides">
              <wp:wrapPolygon edited="0">
                <wp:start x="0" y="0"/>
                <wp:lineTo x="0" y="21378"/>
                <wp:lineTo x="21528" y="21378"/>
                <wp:lineTo x="21528" y="0"/>
                <wp:lineTo x="0" y="0"/>
              </wp:wrapPolygon>
            </wp:wrapTight>
            <wp:docPr id="351680201" name="Billede 2" descr="Et billede, der indeholder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80201" name="Billede 2" descr="Et billede, der indeholder grøn&#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595" cy="1732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Mulig FEJL: Fx – ville man gennem disse ikoner afkode noget som Gorilla Juice ikke kan leve op til/dokumentere?</w:t>
      </w:r>
      <w:r>
        <w:rPr>
          <w:noProof/>
        </w:rPr>
        <w:br/>
      </w:r>
    </w:p>
    <w:p w14:paraId="27F212E0" w14:textId="620FC369" w:rsidR="005C7952" w:rsidRDefault="005C7952" w:rsidP="005C7952">
      <w:pPr>
        <w:spacing w:before="100" w:beforeAutospacing="1" w:after="100" w:afterAutospacing="1" w:line="240" w:lineRule="auto"/>
        <w:ind w:left="720"/>
        <w:rPr>
          <w:noProof/>
        </w:rPr>
      </w:pPr>
    </w:p>
    <w:p w14:paraId="3883FE51" w14:textId="6D63C7BA" w:rsidR="004079D1" w:rsidRPr="00F003BE" w:rsidRDefault="004079D1" w:rsidP="004079D1">
      <w:pPr>
        <w:numPr>
          <w:ilvl w:val="0"/>
          <w:numId w:val="1"/>
        </w:numPr>
        <w:spacing w:before="100" w:beforeAutospacing="1" w:after="100" w:afterAutospacing="1" w:line="240" w:lineRule="auto"/>
        <w:rPr>
          <w:b/>
          <w:bCs/>
          <w:noProof/>
          <w:sz w:val="28"/>
          <w:szCs w:val="24"/>
        </w:rPr>
      </w:pPr>
      <w:r w:rsidRPr="00F003BE">
        <w:rPr>
          <w:b/>
          <w:bCs/>
          <w:noProof/>
          <w:sz w:val="28"/>
          <w:szCs w:val="24"/>
        </w:rPr>
        <w:t>Vælg specifikke udsagn fremfor generelle udsagn ​</w:t>
      </w:r>
    </w:p>
    <w:p w14:paraId="2BC4DF3E" w14:textId="099F71E8" w:rsidR="005C7952" w:rsidRDefault="005C7952" w:rsidP="005C7952">
      <w:pPr>
        <w:numPr>
          <w:ilvl w:val="1"/>
          <w:numId w:val="1"/>
        </w:numPr>
        <w:spacing w:before="100" w:beforeAutospacing="1" w:after="100" w:afterAutospacing="1" w:line="240" w:lineRule="auto"/>
        <w:rPr>
          <w:noProof/>
        </w:rPr>
      </w:pPr>
      <w:r>
        <w:rPr>
          <w:noProof/>
        </w:rPr>
        <w:t xml:space="preserve">FEJL: Generelle udsagn som fx </w:t>
      </w:r>
      <w:r w:rsidRPr="005C7952">
        <w:rPr>
          <w:b/>
          <w:bCs/>
          <w:i/>
          <w:iCs/>
          <w:noProof/>
        </w:rPr>
        <w:t>”respekterer og bevarer miljøet”</w:t>
      </w:r>
      <w:r>
        <w:rPr>
          <w:noProof/>
        </w:rPr>
        <w:t xml:space="preserve"> og </w:t>
      </w:r>
      <w:r w:rsidRPr="005C7952">
        <w:rPr>
          <w:b/>
          <w:bCs/>
          <w:i/>
          <w:iCs/>
          <w:noProof/>
        </w:rPr>
        <w:t>”positiv indvirkning på miljøet”</w:t>
      </w:r>
    </w:p>
    <w:p w14:paraId="4ED47323" w14:textId="2D57A23F" w:rsidR="005C7952" w:rsidRPr="004079D1" w:rsidRDefault="005C7952" w:rsidP="005C7952">
      <w:pPr>
        <w:numPr>
          <w:ilvl w:val="1"/>
          <w:numId w:val="1"/>
        </w:numPr>
        <w:spacing w:before="100" w:beforeAutospacing="1" w:after="100" w:afterAutospacing="1" w:line="240" w:lineRule="auto"/>
        <w:rPr>
          <w:b/>
          <w:bCs/>
          <w:noProof/>
        </w:rPr>
      </w:pPr>
      <w:r>
        <w:rPr>
          <w:noProof/>
        </w:rPr>
        <w:t xml:space="preserve">Til gengæld er dette udsagn specifikt: </w:t>
      </w:r>
      <w:r w:rsidRPr="005C7952">
        <w:rPr>
          <w:b/>
          <w:bCs/>
          <w:i/>
          <w:iCs/>
          <w:noProof/>
        </w:rPr>
        <w:t>”Der praktiseres vandeffektivitet gennem dråbesprinklingssystemer og genbrug af vand.”</w:t>
      </w:r>
      <w:r>
        <w:rPr>
          <w:b/>
          <w:bCs/>
          <w:i/>
          <w:iCs/>
          <w:noProof/>
        </w:rPr>
        <w:br/>
      </w:r>
    </w:p>
    <w:p w14:paraId="6CD4C75C" w14:textId="5AAA020A" w:rsidR="005C7952" w:rsidRPr="00F003BE" w:rsidRDefault="004079D1" w:rsidP="005C7952">
      <w:pPr>
        <w:numPr>
          <w:ilvl w:val="0"/>
          <w:numId w:val="1"/>
        </w:numPr>
        <w:spacing w:before="100" w:beforeAutospacing="1" w:after="100" w:afterAutospacing="1" w:line="240" w:lineRule="auto"/>
        <w:rPr>
          <w:b/>
          <w:bCs/>
          <w:noProof/>
          <w:sz w:val="28"/>
          <w:szCs w:val="24"/>
        </w:rPr>
      </w:pPr>
      <w:r w:rsidRPr="00F003BE">
        <w:rPr>
          <w:b/>
          <w:bCs/>
          <w:noProof/>
          <w:sz w:val="28"/>
          <w:szCs w:val="24"/>
        </w:rPr>
        <w:t>Blæs ikke noget småt stort op (væsentlighed)​</w:t>
      </w:r>
    </w:p>
    <w:p w14:paraId="45DC2873" w14:textId="3B360621" w:rsidR="00A22A8D" w:rsidRPr="004079D1" w:rsidRDefault="00A22A8D" w:rsidP="00A22A8D">
      <w:pPr>
        <w:numPr>
          <w:ilvl w:val="1"/>
          <w:numId w:val="1"/>
        </w:numPr>
        <w:spacing w:before="100" w:beforeAutospacing="1" w:after="100" w:afterAutospacing="1" w:line="240" w:lineRule="auto"/>
        <w:rPr>
          <w:noProof/>
        </w:rPr>
      </w:pPr>
      <w:r>
        <w:rPr>
          <w:noProof/>
        </w:rPr>
        <w:t>IKKE FEJL: Man kan antage at selve produktionen af råvarer udgør en stor del af Gorilla Juices CO2 aftryk og derfor er et fokus på bæredygtigt landbrug væsentligt. Hvis Gorilla Juice derimod havde slået sig op på at de var bæredygtige fordi de bruger genanvendelige sugerør, så ville de blæse noget småt for stort op (ift. hvor deres primære aftryk ligger)</w:t>
      </w:r>
      <w:r>
        <w:rPr>
          <w:noProof/>
        </w:rPr>
        <w:br/>
      </w:r>
    </w:p>
    <w:p w14:paraId="6C53A611" w14:textId="77777777" w:rsidR="00A22A8D" w:rsidRPr="00F003BE" w:rsidRDefault="004079D1" w:rsidP="004079D1">
      <w:pPr>
        <w:numPr>
          <w:ilvl w:val="0"/>
          <w:numId w:val="1"/>
        </w:numPr>
        <w:spacing w:before="100" w:beforeAutospacing="1" w:after="100" w:afterAutospacing="1" w:line="240" w:lineRule="auto"/>
        <w:rPr>
          <w:b/>
          <w:bCs/>
          <w:noProof/>
          <w:sz w:val="28"/>
          <w:szCs w:val="24"/>
        </w:rPr>
      </w:pPr>
      <w:r w:rsidRPr="00F003BE">
        <w:rPr>
          <w:b/>
          <w:bCs/>
          <w:noProof/>
          <w:sz w:val="28"/>
          <w:szCs w:val="24"/>
        </w:rPr>
        <w:t>Sørg altid for at ha’ dokumentationen på plads​</w:t>
      </w:r>
    </w:p>
    <w:p w14:paraId="79915F86" w14:textId="5DFF4D47" w:rsidR="004079D1" w:rsidRPr="004079D1" w:rsidRDefault="00A22A8D" w:rsidP="00A22A8D">
      <w:pPr>
        <w:numPr>
          <w:ilvl w:val="1"/>
          <w:numId w:val="1"/>
        </w:numPr>
        <w:spacing w:before="100" w:beforeAutospacing="1" w:after="100" w:afterAutospacing="1" w:line="240" w:lineRule="auto"/>
        <w:rPr>
          <w:noProof/>
        </w:rPr>
      </w:pPr>
      <w:r>
        <w:rPr>
          <w:noProof/>
        </w:rPr>
        <w:t xml:space="preserve">FEJL: Vi kan ikke se noget dokumentation for deres bæredygtige praksisser. </w:t>
      </w:r>
      <w:r w:rsidR="005C7952">
        <w:rPr>
          <w:noProof/>
        </w:rPr>
        <w:br/>
      </w:r>
    </w:p>
    <w:p w14:paraId="2FF48392" w14:textId="77777777" w:rsidR="00A22A8D" w:rsidRPr="00F003BE" w:rsidRDefault="004079D1" w:rsidP="004079D1">
      <w:pPr>
        <w:numPr>
          <w:ilvl w:val="0"/>
          <w:numId w:val="1"/>
        </w:numPr>
        <w:spacing w:before="100" w:beforeAutospacing="1" w:after="100" w:afterAutospacing="1" w:line="240" w:lineRule="auto"/>
        <w:rPr>
          <w:b/>
          <w:bCs/>
          <w:noProof/>
          <w:sz w:val="28"/>
          <w:szCs w:val="24"/>
        </w:rPr>
      </w:pPr>
      <w:r w:rsidRPr="00F003BE">
        <w:rPr>
          <w:b/>
          <w:bCs/>
          <w:noProof/>
          <w:sz w:val="28"/>
          <w:szCs w:val="24"/>
        </w:rPr>
        <w:lastRenderedPageBreak/>
        <w:t>Brug mærkerne med omtanke​</w:t>
      </w:r>
    </w:p>
    <w:p w14:paraId="0739B62E" w14:textId="07411713" w:rsidR="00A22A8D" w:rsidRDefault="00A22A8D" w:rsidP="00A22A8D">
      <w:pPr>
        <w:numPr>
          <w:ilvl w:val="1"/>
          <w:numId w:val="1"/>
        </w:numPr>
        <w:spacing w:before="100" w:beforeAutospacing="1" w:after="100" w:afterAutospacing="1" w:line="240" w:lineRule="auto"/>
        <w:rPr>
          <w:noProof/>
        </w:rPr>
      </w:pPr>
      <w:r>
        <w:rPr>
          <w:noProof/>
        </w:rPr>
        <w:t xml:space="preserve">Mulig fejl: Vi kan ikke se nogle officielle mærkningsordninger på siden, men en forbruger kan måske opfatte et genbrugstegn som nedenfor som et officielt mærke. Hvordan afkoder I det? Det er forbrugerens opfattelse der tæller. </w:t>
      </w:r>
    </w:p>
    <w:p w14:paraId="590A8B85" w14:textId="33FD69F9" w:rsidR="004079D1" w:rsidRPr="004079D1" w:rsidRDefault="00A22A8D" w:rsidP="00A22A8D">
      <w:pPr>
        <w:spacing w:before="100" w:beforeAutospacing="1" w:after="100" w:afterAutospacing="1" w:line="240" w:lineRule="auto"/>
        <w:ind w:left="720"/>
        <w:rPr>
          <w:noProof/>
        </w:rPr>
      </w:pPr>
      <w:r>
        <w:rPr>
          <w:noProof/>
        </w:rPr>
        <w:drawing>
          <wp:inline distT="0" distB="0" distL="0" distR="0" wp14:anchorId="061E2090" wp14:editId="4CD3E730">
            <wp:extent cx="4362450" cy="695325"/>
            <wp:effectExtent l="0" t="0" r="0" b="9525"/>
            <wp:docPr id="1651452350" name="Billede 1" descr="Et billede, der indeholder Font/skrifttype, tekst, grøn,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52350" name="Billede 1" descr="Et billede, der indeholder Font/skrifttype, tekst, grøn, skærmbillede&#10;&#10;Automatisk genereret beskrivelse"/>
                    <pic:cNvPicPr/>
                  </pic:nvPicPr>
                  <pic:blipFill>
                    <a:blip r:embed="rId9"/>
                    <a:stretch>
                      <a:fillRect/>
                    </a:stretch>
                  </pic:blipFill>
                  <pic:spPr>
                    <a:xfrm>
                      <a:off x="0" y="0"/>
                      <a:ext cx="4362450" cy="695325"/>
                    </a:xfrm>
                    <a:prstGeom prst="rect">
                      <a:avLst/>
                    </a:prstGeom>
                  </pic:spPr>
                </pic:pic>
              </a:graphicData>
            </a:graphic>
          </wp:inline>
        </w:drawing>
      </w:r>
    </w:p>
    <w:p w14:paraId="710AF297" w14:textId="23B5BEE9" w:rsidR="004079D1" w:rsidRDefault="004079D1" w:rsidP="00F003BE">
      <w:pPr>
        <w:numPr>
          <w:ilvl w:val="0"/>
          <w:numId w:val="1"/>
        </w:numPr>
        <w:spacing w:before="100" w:beforeAutospacing="1" w:after="100" w:afterAutospacing="1" w:line="240" w:lineRule="auto"/>
        <w:rPr>
          <w:b/>
          <w:bCs/>
          <w:noProof/>
          <w:sz w:val="28"/>
          <w:szCs w:val="24"/>
        </w:rPr>
      </w:pPr>
      <w:r w:rsidRPr="00F003BE">
        <w:rPr>
          <w:b/>
          <w:bCs/>
          <w:noProof/>
          <w:sz w:val="28"/>
          <w:szCs w:val="24"/>
        </w:rPr>
        <w:t>Reglerne gælder alle steder – også online </w:t>
      </w:r>
    </w:p>
    <w:p w14:paraId="07931660" w14:textId="6F31BABA" w:rsidR="00F003BE" w:rsidRPr="00F003BE" w:rsidRDefault="00F003BE" w:rsidP="00F003BE">
      <w:pPr>
        <w:numPr>
          <w:ilvl w:val="1"/>
          <w:numId w:val="1"/>
        </w:numPr>
        <w:spacing w:before="100" w:beforeAutospacing="1" w:after="100" w:afterAutospacing="1" w:line="240" w:lineRule="auto"/>
        <w:rPr>
          <w:noProof/>
        </w:rPr>
      </w:pPr>
      <w:r w:rsidRPr="00F003BE">
        <w:rPr>
          <w:noProof/>
        </w:rPr>
        <w:t xml:space="preserve">Se ovenstående eksempler. </w:t>
      </w:r>
    </w:p>
    <w:sectPr w:rsidR="00F003BE" w:rsidRPr="00F003BE">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3829" w14:textId="77777777" w:rsidR="00D44135" w:rsidRDefault="00D44135" w:rsidP="00D44135">
      <w:pPr>
        <w:spacing w:after="0" w:line="240" w:lineRule="auto"/>
      </w:pPr>
      <w:r>
        <w:separator/>
      </w:r>
    </w:p>
  </w:endnote>
  <w:endnote w:type="continuationSeparator" w:id="0">
    <w:p w14:paraId="0ADC7DFA" w14:textId="77777777" w:rsidR="00D44135" w:rsidRDefault="00D44135" w:rsidP="00D4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4475" w14:textId="77777777" w:rsidR="00D44135" w:rsidRDefault="00D44135" w:rsidP="00D44135">
      <w:pPr>
        <w:spacing w:after="0" w:line="240" w:lineRule="auto"/>
      </w:pPr>
      <w:r>
        <w:separator/>
      </w:r>
    </w:p>
  </w:footnote>
  <w:footnote w:type="continuationSeparator" w:id="0">
    <w:p w14:paraId="0E6E4C8A" w14:textId="77777777" w:rsidR="00D44135" w:rsidRDefault="00D44135" w:rsidP="00D44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2639" w14:textId="09091BDC" w:rsidR="00D44135" w:rsidRDefault="00D44135">
    <w:pPr>
      <w:pStyle w:val="Sidehoved"/>
    </w:pPr>
    <w:r>
      <w:rPr>
        <w:noProof/>
      </w:rPr>
      <w:drawing>
        <wp:inline distT="0" distB="0" distL="0" distR="0" wp14:anchorId="3D7E8F14" wp14:editId="677D3B2E">
          <wp:extent cx="1679944" cy="353049"/>
          <wp:effectExtent l="0" t="0" r="0" b="9525"/>
          <wp:docPr id="165758305" name="Billede 1" descr="Et billede, der indeholder Font/skrifttype, Grafik, tekst,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8305" name="Billede 1" descr="Et billede, der indeholder Font/skrifttype, Grafik, tekst,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697796" cy="356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907D2"/>
    <w:multiLevelType w:val="multilevel"/>
    <w:tmpl w:val="2F38C5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99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D1"/>
    <w:rsid w:val="004079D1"/>
    <w:rsid w:val="005C7952"/>
    <w:rsid w:val="006646EE"/>
    <w:rsid w:val="007C1A70"/>
    <w:rsid w:val="00A07C72"/>
    <w:rsid w:val="00A22A8D"/>
    <w:rsid w:val="00C40AE6"/>
    <w:rsid w:val="00D44135"/>
    <w:rsid w:val="00F003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CEBF0"/>
  <w15:chartTrackingRefBased/>
  <w15:docId w15:val="{3F6ABFE1-6166-4B3C-9D68-DAE279B0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lack" w:eastAsiaTheme="minorHAnsi" w:hAnsi="Arial Black" w:cstheme="minorBidi"/>
        <w:color w:val="0E2841" w:themeColor="text2"/>
        <w:kern w:val="2"/>
        <w:sz w:val="3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72"/>
    <w:rPr>
      <w:rFonts w:ascii="Calibri" w:hAnsi="Calibri"/>
      <w:sz w:val="24"/>
    </w:rPr>
  </w:style>
  <w:style w:type="paragraph" w:styleId="Overskrift1">
    <w:name w:val="heading 1"/>
    <w:basedOn w:val="Normal"/>
    <w:next w:val="Normal"/>
    <w:link w:val="Overskrift1Tegn"/>
    <w:uiPriority w:val="9"/>
    <w:qFormat/>
    <w:rsid w:val="00407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7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79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79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79D1"/>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4079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79D1"/>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4079D1"/>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79D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79D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079D1"/>
    <w:rPr>
      <w:rFonts w:asciiTheme="majorHAnsi" w:eastAsiaTheme="majorEastAsia" w:hAnsiTheme="majorHAnsi" w:cstheme="majorBidi"/>
      <w:color w:val="0F4761" w:themeColor="accent1" w:themeShade="BF"/>
      <w:szCs w:val="32"/>
    </w:rPr>
  </w:style>
  <w:style w:type="character" w:customStyle="1" w:styleId="Overskrift3Tegn">
    <w:name w:val="Overskrift 3 Tegn"/>
    <w:basedOn w:val="Standardskrifttypeiafsnit"/>
    <w:link w:val="Overskrift3"/>
    <w:uiPriority w:val="9"/>
    <w:semiHidden/>
    <w:rsid w:val="004079D1"/>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079D1"/>
    <w:rPr>
      <w:rFonts w:asciiTheme="minorHAnsi" w:eastAsiaTheme="majorEastAsia" w:hAnsiTheme="minorHAnsi"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4079D1"/>
    <w:rPr>
      <w:rFonts w:asciiTheme="minorHAnsi" w:eastAsiaTheme="majorEastAsia" w:hAnsiTheme="minorHAnsi"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4079D1"/>
    <w:rPr>
      <w:rFonts w:asciiTheme="minorHAnsi" w:eastAsiaTheme="majorEastAsia" w:hAnsiTheme="minorHAnsi"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4079D1"/>
    <w:rPr>
      <w:rFonts w:asciiTheme="minorHAnsi" w:eastAsiaTheme="majorEastAsia" w:hAnsiTheme="minorHAnsi"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4079D1"/>
    <w:rPr>
      <w:rFonts w:asciiTheme="minorHAnsi" w:eastAsiaTheme="majorEastAsia" w:hAnsiTheme="minorHAnsi"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4079D1"/>
    <w:rPr>
      <w:rFonts w:asciiTheme="minorHAnsi" w:eastAsiaTheme="majorEastAsia" w:hAnsiTheme="minorHAnsi" w:cstheme="majorBidi"/>
      <w:color w:val="272727" w:themeColor="text1" w:themeTint="D8"/>
      <w:sz w:val="24"/>
    </w:rPr>
  </w:style>
  <w:style w:type="paragraph" w:styleId="Titel">
    <w:name w:val="Title"/>
    <w:basedOn w:val="Normal"/>
    <w:next w:val="Normal"/>
    <w:link w:val="TitelTegn"/>
    <w:uiPriority w:val="10"/>
    <w:qFormat/>
    <w:rsid w:val="004079D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4079D1"/>
    <w:rPr>
      <w:rFonts w:asciiTheme="majorHAnsi" w:eastAsiaTheme="majorEastAsia" w:hAnsiTheme="majorHAnsi" w:cstheme="majorBidi"/>
      <w:color w:val="auto"/>
      <w:spacing w:val="-10"/>
      <w:kern w:val="28"/>
      <w:sz w:val="56"/>
      <w:szCs w:val="56"/>
    </w:rPr>
  </w:style>
  <w:style w:type="paragraph" w:styleId="Undertitel">
    <w:name w:val="Subtitle"/>
    <w:basedOn w:val="Normal"/>
    <w:next w:val="Normal"/>
    <w:link w:val="UndertitelTegn"/>
    <w:uiPriority w:val="11"/>
    <w:qFormat/>
    <w:rsid w:val="004079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079D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4079D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079D1"/>
    <w:rPr>
      <w:rFonts w:ascii="Calibri" w:hAnsi="Calibri"/>
      <w:i/>
      <w:iCs/>
      <w:color w:val="404040" w:themeColor="text1" w:themeTint="BF"/>
      <w:sz w:val="24"/>
    </w:rPr>
  </w:style>
  <w:style w:type="paragraph" w:styleId="Listeafsnit">
    <w:name w:val="List Paragraph"/>
    <w:basedOn w:val="Normal"/>
    <w:uiPriority w:val="34"/>
    <w:qFormat/>
    <w:rsid w:val="004079D1"/>
    <w:pPr>
      <w:ind w:left="720"/>
      <w:contextualSpacing/>
    </w:pPr>
  </w:style>
  <w:style w:type="character" w:styleId="Kraftigfremhvning">
    <w:name w:val="Intense Emphasis"/>
    <w:basedOn w:val="Standardskrifttypeiafsnit"/>
    <w:uiPriority w:val="21"/>
    <w:qFormat/>
    <w:rsid w:val="004079D1"/>
    <w:rPr>
      <w:i/>
      <w:iCs/>
      <w:color w:val="0F4761" w:themeColor="accent1" w:themeShade="BF"/>
    </w:rPr>
  </w:style>
  <w:style w:type="paragraph" w:styleId="Strktcitat">
    <w:name w:val="Intense Quote"/>
    <w:basedOn w:val="Normal"/>
    <w:next w:val="Normal"/>
    <w:link w:val="StrktcitatTegn"/>
    <w:uiPriority w:val="30"/>
    <w:qFormat/>
    <w:rsid w:val="00407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079D1"/>
    <w:rPr>
      <w:rFonts w:ascii="Calibri" w:hAnsi="Calibri"/>
      <w:i/>
      <w:iCs/>
      <w:color w:val="0F4761" w:themeColor="accent1" w:themeShade="BF"/>
      <w:sz w:val="24"/>
    </w:rPr>
  </w:style>
  <w:style w:type="character" w:styleId="Kraftighenvisning">
    <w:name w:val="Intense Reference"/>
    <w:basedOn w:val="Standardskrifttypeiafsnit"/>
    <w:uiPriority w:val="32"/>
    <w:qFormat/>
    <w:rsid w:val="004079D1"/>
    <w:rPr>
      <w:b/>
      <w:bCs/>
      <w:smallCaps/>
      <w:color w:val="0F4761" w:themeColor="accent1" w:themeShade="BF"/>
      <w:spacing w:val="5"/>
    </w:rPr>
  </w:style>
  <w:style w:type="character" w:styleId="Hyperlink">
    <w:name w:val="Hyperlink"/>
    <w:basedOn w:val="Standardskrifttypeiafsnit"/>
    <w:uiPriority w:val="99"/>
    <w:unhideWhenUsed/>
    <w:rsid w:val="004079D1"/>
    <w:rPr>
      <w:color w:val="467886" w:themeColor="hyperlink"/>
      <w:u w:val="single"/>
    </w:rPr>
  </w:style>
  <w:style w:type="character" w:styleId="Ulstomtale">
    <w:name w:val="Unresolved Mention"/>
    <w:basedOn w:val="Standardskrifttypeiafsnit"/>
    <w:uiPriority w:val="99"/>
    <w:semiHidden/>
    <w:unhideWhenUsed/>
    <w:rsid w:val="004079D1"/>
    <w:rPr>
      <w:color w:val="605E5C"/>
      <w:shd w:val="clear" w:color="auto" w:fill="E1DFDD"/>
    </w:rPr>
  </w:style>
  <w:style w:type="character" w:styleId="BesgtLink">
    <w:name w:val="FollowedHyperlink"/>
    <w:basedOn w:val="Standardskrifttypeiafsnit"/>
    <w:uiPriority w:val="99"/>
    <w:semiHidden/>
    <w:unhideWhenUsed/>
    <w:rsid w:val="00A22A8D"/>
    <w:rPr>
      <w:color w:val="96607D" w:themeColor="followedHyperlink"/>
      <w:u w:val="single"/>
    </w:rPr>
  </w:style>
  <w:style w:type="paragraph" w:styleId="Sidehoved">
    <w:name w:val="header"/>
    <w:basedOn w:val="Normal"/>
    <w:link w:val="SidehovedTegn"/>
    <w:uiPriority w:val="99"/>
    <w:unhideWhenUsed/>
    <w:rsid w:val="00D441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44135"/>
    <w:rPr>
      <w:rFonts w:ascii="Calibri" w:hAnsi="Calibri"/>
      <w:sz w:val="24"/>
    </w:rPr>
  </w:style>
  <w:style w:type="paragraph" w:styleId="Sidefod">
    <w:name w:val="footer"/>
    <w:basedOn w:val="Normal"/>
    <w:link w:val="SidefodTegn"/>
    <w:uiPriority w:val="99"/>
    <w:unhideWhenUsed/>
    <w:rsid w:val="00D441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4413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orillajuice-demo.dk/info/plantager-og-ingrediens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268</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Gaye (JGA - Kommunikationsansvarlig og udviklingskonsulent - SE - AK)</dc:creator>
  <cp:keywords/>
  <dc:description/>
  <cp:lastModifiedBy>Janne Gaye (JGA - Kommunikationsansvarlig og udviklingskonsulent - SE - AK)</cp:lastModifiedBy>
  <cp:revision>3</cp:revision>
  <dcterms:created xsi:type="dcterms:W3CDTF">2024-04-05T12:21:00Z</dcterms:created>
  <dcterms:modified xsi:type="dcterms:W3CDTF">2024-04-08T12:36:00Z</dcterms:modified>
</cp:coreProperties>
</file>